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b/>
          <w:bCs/>
          <w:color w:val="191B1E"/>
          <w:sz w:val="20"/>
          <w:szCs w:val="20"/>
        </w:rPr>
        <w:t xml:space="preserve">ПУБЛИЧНАЯ ОФЕРТА</w:t>
      </w:r>
    </w:p>
    <w:p>
      <w:pPr>
        <w:spacing w:after="40"/>
        <w:jc w:val="center"/>
      </w:pPr>
      <w:r>
        <w:rPr>
          <w:b/>
          <w:bCs/>
          <w:color w:val="191B1E"/>
          <w:sz w:val="36"/>
          <w:szCs w:val="36"/>
        </w:rPr>
        <w:t xml:space="preserve">Правила оказания услуг Antviz</w:t>
      </w:r>
    </w:p>
    <w:p>
      <w:pPr>
        <w:spacing w:after="300"/>
        <w:jc w:val="center"/>
      </w:pPr>
      <w:r>
        <w:rPr>
          <w:color w:val="191B1E"/>
          <w:sz w:val="19"/>
          <w:szCs w:val="19"/>
        </w:rPr>
        <w:t xml:space="preserve">Редакция от 17 августа 2026 года</w:t>
      </w:r>
    </w:p>
    <w:p>
      <w:pPr>
        <w:pStyle w:val="Heading1"/>
        <w:spacing w:after="140" w:before="320"/>
      </w:pPr>
      <w:r>
        <w:rPr>
          <w:b/>
          <w:bCs/>
          <w:color w:val="191B1E"/>
          <w:sz w:val="25"/>
          <w:szCs w:val="25"/>
        </w:rPr>
        <w:t xml:space="preserve">1. Общие положения</w:t>
      </w:r>
    </w:p>
    <w:p>
      <w:pPr>
        <w:spacing w:after="120"/>
        <w:jc w:val="both"/>
      </w:pPr>
      <w:r>
        <w:rPr>
          <w:b w:val="false"/>
          <w:bCs w:val="false"/>
          <w:color w:val="191B1E"/>
          <w:sz w:val="21"/>
          <w:szCs w:val="21"/>
        </w:rPr>
        <w:t xml:space="preserve">Эти правила являются публичной офертой Antviz. Услуги оказывает Исполнитель — физическое лицо, применяющее налог на профессиональный доход (самозанятый). Настоящий документ описывает порядок работы, стоимость услуг, сроки, ответственность сторон и порядок возврата средств.</w:t>
      </w:r>
    </w:p>
    <w:p>
      <w:pPr>
        <w:spacing w:after="120"/>
        <w:jc w:val="both"/>
      </w:pPr>
      <w:r>
        <w:rPr>
          <w:b w:val="false"/>
          <w:bCs w:val="false"/>
          <w:color w:val="191B1E"/>
          <w:sz w:val="21"/>
          <w:szCs w:val="21"/>
        </w:rPr>
        <w:t xml:space="preserve">Antviz разрабатывает сайты, Telegram-боты и mini-apps без конструкторов, без абонентской платы, с полной передачей кода. Оформляя заказ, Клиент подтверждает, что ознакомлен и согласен с настоящими правилами.</w:t>
      </w:r>
    </w:p>
    <w:p>
      <w:pPr>
        <w:spacing w:after="120"/>
        <w:jc w:val="both"/>
      </w:pPr>
      <w:r>
        <w:rPr>
          <w:b w:val="false"/>
          <w:bCs w:val="false"/>
          <w:color w:val="191B1E"/>
          <w:sz w:val="21"/>
          <w:szCs w:val="21"/>
        </w:rPr>
        <w:t xml:space="preserve">Документ составлен в соответствии с главой 39 Гражданского кодекса РФ и Законом «О защите прав потребителей».</w:t>
      </w:r>
    </w:p>
    <w:p>
      <w:pPr>
        <w:pBdr>
          <w:bottom w:val="single" w:color="AAAAAA" w:sz="4"/>
        </w:pBdr>
        <w:spacing w:after="200" w:before="200"/>
      </w:pPr>
      <w:r>
        <w:t xml:space="preserve"/>
      </w:r>
    </w:p>
    <w:p>
      <w:pPr>
        <w:pStyle w:val="Heading1"/>
        <w:spacing w:after="140" w:before="320"/>
      </w:pPr>
      <w:r>
        <w:rPr>
          <w:b/>
          <w:bCs/>
          <w:color w:val="191B1E"/>
          <w:sz w:val="25"/>
          <w:szCs w:val="25"/>
        </w:rPr>
        <w:t xml:space="preserve">2. Предмет договора</w:t>
      </w:r>
    </w:p>
    <w:p>
      <w:pPr>
        <w:spacing w:after="120"/>
        <w:jc w:val="both"/>
      </w:pPr>
      <w:r>
        <w:rPr>
          <w:b w:val="false"/>
          <w:bCs w:val="false"/>
          <w:color w:val="191B1E"/>
          <w:sz w:val="21"/>
          <w:szCs w:val="21"/>
        </w:rPr>
        <w:t xml:space="preserve">Antviz разрабатывает сайты, Telegram-боты и mini-apps и размещает их в сети Интернет. Итог работы — опубликованный проект с передачей исходного кода Заказчику.</w:t>
      </w:r>
    </w:p>
    <w:p>
      <w:pPr>
        <w:spacing w:after="120"/>
        <w:jc w:val="both"/>
      </w:pPr>
      <w:r>
        <w:rPr>
          <w:b w:val="false"/>
          <w:bCs w:val="false"/>
          <w:color w:val="191B1E"/>
          <w:sz w:val="21"/>
          <w:szCs w:val="21"/>
        </w:rPr>
        <w:t xml:space="preserve">Объём работ фиксируется при оформлении заказа и не может быть изменён в одностороннем порядке без согласования.</w:t>
      </w:r>
    </w:p>
    <w:p>
      <w:pPr>
        <w:pBdr>
          <w:bottom w:val="single" w:color="AAAAAA" w:sz="4"/>
        </w:pBdr>
        <w:spacing w:after="200" w:before="200"/>
      </w:pPr>
      <w:r>
        <w:t xml:space="preserve"/>
      </w:r>
    </w:p>
    <w:p>
      <w:pPr>
        <w:pStyle w:val="Heading1"/>
        <w:spacing w:after="140" w:before="320"/>
      </w:pPr>
      <w:r>
        <w:rPr>
          <w:b/>
          <w:bCs/>
          <w:color w:val="191B1E"/>
          <w:sz w:val="25"/>
          <w:szCs w:val="25"/>
        </w:rPr>
        <w:t xml:space="preserve">3. Порядок оформления заказа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91B1E"/>
          <w:sz w:val="21"/>
          <w:szCs w:val="21"/>
        </w:rPr>
        <w:t xml:space="preserve">Регистрация на сайте и заполнение формы заказа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91B1E"/>
          <w:sz w:val="21"/>
          <w:szCs w:val="21"/>
        </w:rPr>
        <w:t xml:space="preserve">Согласование деталей через чат поддержки в личном кабинете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91B1E"/>
          <w:sz w:val="21"/>
          <w:szCs w:val="21"/>
        </w:rPr>
        <w:t xml:space="preserve">Оплата заказа через ЮKassa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91B1E"/>
          <w:sz w:val="21"/>
          <w:szCs w:val="21"/>
        </w:rPr>
        <w:t xml:space="preserve">Начало работы после оплаты и получения всех материалов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91B1E"/>
          <w:sz w:val="21"/>
          <w:szCs w:val="21"/>
        </w:rPr>
        <w:t xml:space="preserve">Передача готового результата через личный кабинет</w:t>
      </w:r>
    </w:p>
    <w:p>
      <w:pPr>
        <w:spacing w:after="120"/>
        <w:jc w:val="both"/>
      </w:pPr>
      <w:r>
        <w:rPr>
          <w:b w:val="false"/>
          <w:bCs w:val="false"/>
          <w:color w:val="191B1E"/>
          <w:sz w:val="21"/>
          <w:szCs w:val="21"/>
        </w:rPr>
        <w:t xml:space="preserve">Если Клиент указал неполные или недостоверные данные, Исполнитель не несёт ответственности за несоответствие готового результата ожиданиям Клиента.</w:t>
      </w:r>
    </w:p>
    <w:p>
      <w:pPr>
        <w:pBdr>
          <w:bottom w:val="single" w:color="AAAAAA" w:sz="4"/>
        </w:pBdr>
        <w:spacing w:after="200" w:before="200"/>
      </w:pPr>
      <w:r>
        <w:t xml:space="preserve"/>
      </w:r>
    </w:p>
    <w:p>
      <w:pPr>
        <w:pStyle w:val="Heading1"/>
        <w:spacing w:after="140" w:before="320"/>
      </w:pPr>
      <w:r>
        <w:rPr>
          <w:b/>
          <w:bCs/>
          <w:color w:val="191B1E"/>
          <w:sz w:val="25"/>
          <w:szCs w:val="25"/>
        </w:rPr>
        <w:t xml:space="preserve">4. Стоимость и оплата</w:t>
      </w:r>
    </w:p>
    <w:p>
      <w:pPr>
        <w:spacing w:after="120"/>
        <w:jc w:val="both"/>
      </w:pPr>
      <w:r>
        <w:rPr>
          <w:b w:val="false"/>
          <w:bCs w:val="false"/>
          <w:color w:val="191B1E"/>
          <w:sz w:val="21"/>
          <w:szCs w:val="21"/>
        </w:rPr>
        <w:t xml:space="preserve">Стоимость зависит от того, что заказывает Клиент — сайт или Telegram-бот/mini-app. Актуальные цены доступны на antviz.ru/price.</w:t>
      </w:r>
    </w:p>
    <w:p>
      <w:pPr>
        <w:spacing w:after="80" w:before="160"/>
      </w:pPr>
      <w:r>
        <w:rPr>
          <w:b/>
          <w:bCs/>
          <w:color w:val="191B1E"/>
          <w:sz w:val="21"/>
          <w:szCs w:val="21"/>
        </w:rPr>
        <w:t xml:space="preserve">Создание сайта</w:t>
      </w:r>
    </w:p>
    <w:tbl>
      <w:tblPr>
        <w:tblW w:type="dxa" w:w="8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3800"/>
        <w:gridCol w:w="1800"/>
      </w:tblGrid>
      <w:tr>
        <w:tc>
          <w:tcPr>
            <w:tcW w:type="dxa" w:w="240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b/>
                <w:bCs/>
                <w:color w:val="191B1E"/>
                <w:sz w:val="19"/>
                <w:szCs w:val="19"/>
              </w:rPr>
              <w:t xml:space="preserve">Услуга</w:t>
            </w:r>
          </w:p>
        </w:tc>
        <w:tc>
          <w:tcPr>
            <w:tcW w:type="dxa" w:w="380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b/>
                <w:bCs/>
                <w:color w:val="191B1E"/>
                <w:sz w:val="19"/>
                <w:szCs w:val="19"/>
              </w:rPr>
              <w:t xml:space="preserve">Описание</w:t>
            </w:r>
          </w:p>
        </w:tc>
        <w:tc>
          <w:tcPr>
            <w:tcW w:type="dxa" w:w="180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b/>
                <w:bCs/>
                <w:color w:val="191B1E"/>
                <w:sz w:val="19"/>
                <w:szCs w:val="19"/>
              </w:rPr>
              <w:t xml:space="preserve">Цена</w:t>
            </w:r>
          </w:p>
        </w:tc>
      </w:tr>
      <w:tr>
        <w:tc>
          <w:tcPr>
            <w:tcW w:type="dxa" w:w="240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b w:val="false"/>
                <w:bCs w:val="false"/>
                <w:color w:val="191B1E"/>
                <w:sz w:val="19"/>
                <w:szCs w:val="19"/>
              </w:rPr>
              <w:t xml:space="preserve">Старт</w:t>
            </w:r>
          </w:p>
        </w:tc>
        <w:tc>
          <w:tcPr>
            <w:tcW w:type="dxa" w:w="380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b w:val="false"/>
                <w:bCs w:val="false"/>
                <w:color w:val="191B1E"/>
                <w:sz w:val="19"/>
                <w:szCs w:val="19"/>
              </w:rPr>
              <w:t xml:space="preserve">1 страница · 1–2 дня</w:t>
            </w:r>
          </w:p>
        </w:tc>
        <w:tc>
          <w:tcPr>
            <w:tcW w:type="dxa" w:w="180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b w:val="false"/>
                <w:bCs w:val="false"/>
                <w:color w:val="191B1E"/>
                <w:sz w:val="19"/>
                <w:szCs w:val="19"/>
              </w:rPr>
              <w:t xml:space="preserve">2 900 ₽</w:t>
            </w:r>
          </w:p>
        </w:tc>
      </w:tr>
      <w:tr>
        <w:tc>
          <w:tcPr>
            <w:tcW w:type="dxa" w:w="240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b w:val="false"/>
                <w:bCs w:val="false"/>
                <w:color w:val="191B1E"/>
                <w:sz w:val="19"/>
                <w:szCs w:val="19"/>
              </w:rPr>
              <w:t xml:space="preserve">Рост</w:t>
            </w:r>
          </w:p>
        </w:tc>
        <w:tc>
          <w:tcPr>
            <w:tcW w:type="dxa" w:w="380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b w:val="false"/>
                <w:bCs w:val="false"/>
                <w:color w:val="191B1E"/>
                <w:sz w:val="19"/>
                <w:szCs w:val="19"/>
              </w:rPr>
              <w:t xml:space="preserve">До 5 страниц · 2–5 дней</w:t>
            </w:r>
          </w:p>
        </w:tc>
        <w:tc>
          <w:tcPr>
            <w:tcW w:type="dxa" w:w="180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b w:val="false"/>
                <w:bCs w:val="false"/>
                <w:color w:val="191B1E"/>
                <w:sz w:val="19"/>
                <w:szCs w:val="19"/>
              </w:rPr>
              <w:t xml:space="preserve">5 900 ₽</w:t>
            </w:r>
          </w:p>
        </w:tc>
      </w:tr>
      <w:tr>
        <w:tc>
          <w:tcPr>
            <w:tcW w:type="dxa" w:w="240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b w:val="false"/>
                <w:bCs w:val="false"/>
                <w:color w:val="191B1E"/>
                <w:sz w:val="19"/>
                <w:szCs w:val="19"/>
              </w:rPr>
              <w:t xml:space="preserve">Масштаб</w:t>
            </w:r>
          </w:p>
        </w:tc>
        <w:tc>
          <w:tcPr>
            <w:tcW w:type="dxa" w:w="380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b w:val="false"/>
                <w:bCs w:val="false"/>
                <w:color w:val="191B1E"/>
                <w:sz w:val="19"/>
                <w:szCs w:val="19"/>
              </w:rPr>
              <w:t xml:space="preserve">До 10 страниц · 5–14 дней</w:t>
            </w:r>
          </w:p>
        </w:tc>
        <w:tc>
          <w:tcPr>
            <w:tcW w:type="dxa" w:w="180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b w:val="false"/>
                <w:bCs w:val="false"/>
                <w:color w:val="191B1E"/>
                <w:sz w:val="19"/>
                <w:szCs w:val="19"/>
              </w:rPr>
              <w:t xml:space="preserve">11 900 ₽</w:t>
            </w:r>
          </w:p>
        </w:tc>
      </w:tr>
      <w:tr>
        <w:tc>
          <w:tcPr>
            <w:tcW w:type="dxa" w:w="240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b w:val="false"/>
                <w:bCs w:val="false"/>
                <w:color w:val="191B1E"/>
                <w:sz w:val="19"/>
                <w:szCs w:val="19"/>
              </w:rPr>
              <w:t xml:space="preserve">Наполнение контентом</w:t>
            </w:r>
          </w:p>
        </w:tc>
        <w:tc>
          <w:tcPr>
            <w:tcW w:type="dxa" w:w="380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b w:val="false"/>
                <w:bCs w:val="false"/>
                <w:color w:val="191B1E"/>
                <w:sz w:val="19"/>
                <w:szCs w:val="19"/>
              </w:rPr>
              <w:t xml:space="preserve">Разово</w:t>
            </w:r>
          </w:p>
        </w:tc>
        <w:tc>
          <w:tcPr>
            <w:tcW w:type="dxa" w:w="180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b w:val="false"/>
                <w:bCs w:val="false"/>
                <w:color w:val="191B1E"/>
                <w:sz w:val="19"/>
                <w:szCs w:val="19"/>
              </w:rPr>
              <w:t xml:space="preserve">2 000 ₽</w:t>
            </w:r>
          </w:p>
        </w:tc>
      </w:tr>
      <w:tr>
        <w:tc>
          <w:tcPr>
            <w:tcW w:type="dxa" w:w="240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b w:val="false"/>
                <w:bCs w:val="false"/>
                <w:color w:val="191B1E"/>
                <w:sz w:val="19"/>
                <w:szCs w:val="19"/>
              </w:rPr>
              <w:t xml:space="preserve">Каталог и корзина</w:t>
            </w:r>
          </w:p>
        </w:tc>
        <w:tc>
          <w:tcPr>
            <w:tcW w:type="dxa" w:w="380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b w:val="false"/>
                <w:bCs w:val="false"/>
                <w:color w:val="191B1E"/>
                <w:sz w:val="19"/>
                <w:szCs w:val="19"/>
              </w:rPr>
              <w:t xml:space="preserve">Разово</w:t>
            </w:r>
          </w:p>
        </w:tc>
        <w:tc>
          <w:tcPr>
            <w:tcW w:type="dxa" w:w="180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b w:val="false"/>
                <w:bCs w:val="false"/>
                <w:color w:val="191B1E"/>
                <w:sz w:val="19"/>
                <w:szCs w:val="19"/>
              </w:rPr>
              <w:t xml:space="preserve">4 900 ₽</w:t>
            </w:r>
          </w:p>
        </w:tc>
      </w:tr>
      <w:tr>
        <w:tc>
          <w:tcPr>
            <w:tcW w:type="dxa" w:w="240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b w:val="false"/>
                <w:bCs w:val="false"/>
                <w:color w:val="191B1E"/>
                <w:sz w:val="19"/>
                <w:szCs w:val="19"/>
              </w:rPr>
              <w:t xml:space="preserve">Обслуживание · Базовое</w:t>
            </w:r>
          </w:p>
        </w:tc>
        <w:tc>
          <w:tcPr>
            <w:tcW w:type="dxa" w:w="380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b w:val="false"/>
                <w:bCs w:val="false"/>
                <w:color w:val="191B1E"/>
                <w:sz w:val="19"/>
                <w:szCs w:val="19"/>
              </w:rPr>
              <w:t xml:space="preserve">Правки текста и фото</w:t>
            </w:r>
          </w:p>
        </w:tc>
        <w:tc>
          <w:tcPr>
            <w:tcW w:type="dxa" w:w="180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b w:val="false"/>
                <w:bCs w:val="false"/>
                <w:color w:val="191B1E"/>
                <w:sz w:val="19"/>
                <w:szCs w:val="19"/>
              </w:rPr>
              <w:t xml:space="preserve">500 ₽/мес</w:t>
            </w:r>
          </w:p>
        </w:tc>
      </w:tr>
      <w:tr>
        <w:tc>
          <w:tcPr>
            <w:tcW w:type="dxa" w:w="240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b w:val="false"/>
                <w:bCs w:val="false"/>
                <w:color w:val="191B1E"/>
                <w:sz w:val="19"/>
                <w:szCs w:val="19"/>
              </w:rPr>
              <w:t xml:space="preserve">Обслуживание · Расширенное</w:t>
            </w:r>
          </w:p>
        </w:tc>
        <w:tc>
          <w:tcPr>
            <w:tcW w:type="dxa" w:w="380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b w:val="false"/>
                <w:bCs w:val="false"/>
                <w:color w:val="191B1E"/>
                <w:sz w:val="19"/>
                <w:szCs w:val="19"/>
              </w:rPr>
              <w:t xml:space="preserve">Правки, фото и мелкие доработки функционала</w:t>
            </w:r>
          </w:p>
        </w:tc>
        <w:tc>
          <w:tcPr>
            <w:tcW w:type="dxa" w:w="180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b w:val="false"/>
                <w:bCs w:val="false"/>
                <w:color w:val="191B1E"/>
                <w:sz w:val="19"/>
                <w:szCs w:val="19"/>
              </w:rPr>
              <w:t xml:space="preserve">1 200 ₽/мес</w:t>
            </w:r>
          </w:p>
        </w:tc>
      </w:tr>
      <w:tr>
        <w:tc>
          <w:tcPr>
            <w:tcW w:type="dxa" w:w="240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b w:val="false"/>
                <w:bCs w:val="false"/>
                <w:color w:val="191B1E"/>
                <w:sz w:val="19"/>
                <w:szCs w:val="19"/>
              </w:rPr>
              <w:t xml:space="preserve">Обслуживание · Разовая правка</w:t>
            </w:r>
          </w:p>
        </w:tc>
        <w:tc>
          <w:tcPr>
            <w:tcW w:type="dxa" w:w="380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b w:val="false"/>
                <w:bCs w:val="false"/>
                <w:color w:val="191B1E"/>
                <w:sz w:val="19"/>
                <w:szCs w:val="19"/>
              </w:rPr>
              <w:t xml:space="preserve">Без подписки, по отдельному запросу</w:t>
            </w:r>
          </w:p>
        </w:tc>
        <w:tc>
          <w:tcPr>
            <w:tcW w:type="dxa" w:w="180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b w:val="false"/>
                <w:bCs w:val="false"/>
                <w:color w:val="191B1E"/>
                <w:sz w:val="19"/>
                <w:szCs w:val="19"/>
              </w:rPr>
              <w:t xml:space="preserve">350 ₽</w:t>
            </w:r>
          </w:p>
        </w:tc>
      </w:tr>
      <w:tr>
        <w:tc>
          <w:tcPr>
            <w:tcW w:type="dxa" w:w="240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b w:val="false"/>
                <w:bCs w:val="false"/>
                <w:color w:val="191B1E"/>
                <w:sz w:val="19"/>
                <w:szCs w:val="19"/>
              </w:rPr>
              <w:t xml:space="preserve">Срочность</w:t>
            </w:r>
          </w:p>
        </w:tc>
        <w:tc>
          <w:tcPr>
            <w:tcW w:type="dxa" w:w="380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b w:val="false"/>
                <w:bCs w:val="false"/>
                <w:color w:val="191B1E"/>
                <w:sz w:val="19"/>
                <w:szCs w:val="19"/>
              </w:rPr>
              <w:t xml:space="preserve">Приоритетная очередь</w:t>
            </w:r>
          </w:p>
        </w:tc>
        <w:tc>
          <w:tcPr>
            <w:tcW w:type="dxa" w:w="180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b w:val="false"/>
                <w:bCs w:val="false"/>
                <w:color w:val="191B1E"/>
                <w:sz w:val="19"/>
                <w:szCs w:val="19"/>
              </w:rPr>
              <w:t xml:space="preserve">+30%</w:t>
            </w:r>
          </w:p>
        </w:tc>
      </w:tr>
    </w:tbl>
    <w:p>
      <w:pPr>
        <w:spacing w:before="140"/>
      </w:pPr>
    </w:p>
    <w:p>
      <w:pPr>
        <w:spacing w:after="120"/>
        <w:jc w:val="both"/>
      </w:pPr>
      <w:r>
        <w:rPr>
          <w:b w:val="false"/>
          <w:bCs w:val="false"/>
          <w:color w:val="191B1E"/>
          <w:sz w:val="21"/>
          <w:szCs w:val="21"/>
        </w:rPr>
        <w:t xml:space="preserve">Домен клиент регистрирует и оплачивает самостоятельно, отдельно от стоимости тарифа — подробнее в разделе «12. Домены».</w:t>
      </w:r>
    </w:p>
    <w:p>
      <w:pPr>
        <w:spacing w:after="80" w:before="160"/>
      </w:pPr>
      <w:r>
        <w:rPr>
          <w:b/>
          <w:bCs/>
          <w:color w:val="191B1E"/>
          <w:sz w:val="21"/>
          <w:szCs w:val="21"/>
        </w:rPr>
        <w:t xml:space="preserve">Telegram-бот и mini-app</w:t>
      </w:r>
    </w:p>
    <w:tbl>
      <w:tblPr>
        <w:tblW w:type="dxa" w:w="8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3800"/>
        <w:gridCol w:w="1800"/>
      </w:tblGrid>
      <w:tr>
        <w:tc>
          <w:tcPr>
            <w:tcW w:type="dxa" w:w="240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b/>
                <w:bCs/>
                <w:color w:val="191B1E"/>
                <w:sz w:val="19"/>
                <w:szCs w:val="19"/>
              </w:rPr>
              <w:t xml:space="preserve">Услуга</w:t>
            </w:r>
          </w:p>
        </w:tc>
        <w:tc>
          <w:tcPr>
            <w:tcW w:type="dxa" w:w="380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b/>
                <w:bCs/>
                <w:color w:val="191B1E"/>
                <w:sz w:val="19"/>
                <w:szCs w:val="19"/>
              </w:rPr>
              <w:t xml:space="preserve">Описание</w:t>
            </w:r>
          </w:p>
        </w:tc>
        <w:tc>
          <w:tcPr>
            <w:tcW w:type="dxa" w:w="180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b/>
                <w:bCs/>
                <w:color w:val="191B1E"/>
                <w:sz w:val="19"/>
                <w:szCs w:val="19"/>
              </w:rPr>
              <w:t xml:space="preserve">Цена</w:t>
            </w:r>
          </w:p>
        </w:tc>
      </w:tr>
      <w:tr>
        <w:tc>
          <w:tcPr>
            <w:tcW w:type="dxa" w:w="240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b w:val="false"/>
                <w:bCs w:val="false"/>
                <w:color w:val="191B1E"/>
                <w:sz w:val="19"/>
                <w:szCs w:val="19"/>
              </w:rPr>
              <w:t xml:space="preserve">Простой бот</w:t>
            </w:r>
          </w:p>
        </w:tc>
        <w:tc>
          <w:tcPr>
            <w:tcW w:type="dxa" w:w="380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b w:val="false"/>
                <w:bCs w:val="false"/>
                <w:color w:val="191B1E"/>
                <w:sz w:val="19"/>
                <w:szCs w:val="19"/>
              </w:rPr>
              <w:t xml:space="preserve">Приём заявок, кнопки и меню команд, уведомления · 2–4 дня</w:t>
            </w:r>
          </w:p>
        </w:tc>
        <w:tc>
          <w:tcPr>
            <w:tcW w:type="dxa" w:w="180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b w:val="false"/>
                <w:bCs w:val="false"/>
                <w:color w:val="191B1E"/>
                <w:sz w:val="19"/>
                <w:szCs w:val="19"/>
              </w:rPr>
              <w:t xml:space="preserve">4 900 ₽</w:t>
            </w:r>
          </w:p>
        </w:tc>
      </w:tr>
      <w:tr>
        <w:tc>
          <w:tcPr>
            <w:tcW w:type="dxa" w:w="240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b w:val="false"/>
                <w:bCs w:val="false"/>
                <w:color w:val="191B1E"/>
                <w:sz w:val="19"/>
                <w:szCs w:val="19"/>
              </w:rPr>
              <w:t xml:space="preserve">Бот с оплатой</w:t>
            </w:r>
          </w:p>
        </w:tc>
        <w:tc>
          <w:tcPr>
            <w:tcW w:type="dxa" w:w="380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b w:val="false"/>
                <w:bCs w:val="false"/>
                <w:color w:val="191B1E"/>
                <w:sz w:val="19"/>
                <w:szCs w:val="19"/>
              </w:rPr>
              <w:t xml:space="preserve">Приём оплаты в боте, интеграция с CRM/Таблицами · 4–7 дней</w:t>
            </w:r>
          </w:p>
        </w:tc>
        <w:tc>
          <w:tcPr>
            <w:tcW w:type="dxa" w:w="180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b w:val="false"/>
                <w:bCs w:val="false"/>
                <w:color w:val="191B1E"/>
                <w:sz w:val="19"/>
                <w:szCs w:val="19"/>
              </w:rPr>
              <w:t xml:space="preserve">9 900 ₽</w:t>
            </w:r>
          </w:p>
        </w:tc>
      </w:tr>
      <w:tr>
        <w:tc>
          <w:tcPr>
            <w:tcW w:type="dxa" w:w="240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b w:val="false"/>
                <w:bCs w:val="false"/>
                <w:color w:val="191B1E"/>
                <w:sz w:val="19"/>
                <w:szCs w:val="19"/>
              </w:rPr>
              <w:t xml:space="preserve">Mini App</w:t>
            </w:r>
          </w:p>
        </w:tc>
        <w:tc>
          <w:tcPr>
            <w:tcW w:type="dxa" w:w="380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b w:val="false"/>
                <w:bCs w:val="false"/>
                <w:color w:val="191B1E"/>
                <w:sz w:val="19"/>
                <w:szCs w:val="19"/>
              </w:rPr>
              <w:t xml:space="preserve">Веб-интерфейс и личный кабинет внутри Telegram · 7–14 дней</w:t>
            </w:r>
          </w:p>
        </w:tc>
        <w:tc>
          <w:tcPr>
            <w:tcW w:type="dxa" w:w="180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b w:val="false"/>
                <w:bCs w:val="false"/>
                <w:color w:val="191B1E"/>
                <w:sz w:val="19"/>
                <w:szCs w:val="19"/>
              </w:rPr>
              <w:t xml:space="preserve">16 900 ₽</w:t>
            </w:r>
          </w:p>
        </w:tc>
      </w:tr>
      <w:tr>
        <w:tc>
          <w:tcPr>
            <w:tcW w:type="dxa" w:w="240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b w:val="false"/>
                <w:bCs w:val="false"/>
                <w:color w:val="191B1E"/>
                <w:sz w:val="19"/>
                <w:szCs w:val="19"/>
              </w:rPr>
              <w:t xml:space="preserve">Приём оплаты в боте</w:t>
            </w:r>
          </w:p>
        </w:tc>
        <w:tc>
          <w:tcPr>
            <w:tcW w:type="dxa" w:w="380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b w:val="false"/>
                <w:bCs w:val="false"/>
                <w:color w:val="191B1E"/>
                <w:sz w:val="19"/>
                <w:szCs w:val="19"/>
              </w:rPr>
              <w:t xml:space="preserve">Разово, для тарифа «Простой бот»</w:t>
            </w:r>
          </w:p>
        </w:tc>
        <w:tc>
          <w:tcPr>
            <w:tcW w:type="dxa" w:w="180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b w:val="false"/>
                <w:bCs w:val="false"/>
                <w:color w:val="191B1E"/>
                <w:sz w:val="19"/>
                <w:szCs w:val="19"/>
              </w:rPr>
              <w:t xml:space="preserve">+3 000 ₽</w:t>
            </w:r>
          </w:p>
        </w:tc>
      </w:tr>
      <w:tr>
        <w:tc>
          <w:tcPr>
            <w:tcW w:type="dxa" w:w="240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b w:val="false"/>
                <w:bCs w:val="false"/>
                <w:color w:val="191B1E"/>
                <w:sz w:val="19"/>
                <w:szCs w:val="19"/>
              </w:rPr>
              <w:t xml:space="preserve">Интеграция с CRM/Таблицами</w:t>
            </w:r>
          </w:p>
        </w:tc>
        <w:tc>
          <w:tcPr>
            <w:tcW w:type="dxa" w:w="380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b w:val="false"/>
                <w:bCs w:val="false"/>
                <w:color w:val="191B1E"/>
                <w:sz w:val="19"/>
                <w:szCs w:val="19"/>
              </w:rPr>
              <w:t xml:space="preserve">Разово, для тарифа «Простой бот»</w:t>
            </w:r>
          </w:p>
        </w:tc>
        <w:tc>
          <w:tcPr>
            <w:tcW w:type="dxa" w:w="180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b w:val="false"/>
                <w:bCs w:val="false"/>
                <w:color w:val="191B1E"/>
                <w:sz w:val="19"/>
                <w:szCs w:val="19"/>
              </w:rPr>
              <w:t xml:space="preserve">+2 500 ₽</w:t>
            </w:r>
          </w:p>
        </w:tc>
      </w:tr>
      <w:tr>
        <w:tc>
          <w:tcPr>
            <w:tcW w:type="dxa" w:w="240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b w:val="false"/>
                <w:bCs w:val="false"/>
                <w:color w:val="191B1E"/>
                <w:sz w:val="19"/>
                <w:szCs w:val="19"/>
              </w:rPr>
              <w:t xml:space="preserve">Обслуживание · Базовое</w:t>
            </w:r>
          </w:p>
        </w:tc>
        <w:tc>
          <w:tcPr>
            <w:tcW w:type="dxa" w:w="380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b w:val="false"/>
                <w:bCs w:val="false"/>
                <w:color w:val="191B1E"/>
                <w:sz w:val="19"/>
                <w:szCs w:val="19"/>
              </w:rPr>
              <w:t xml:space="preserve">Правки текста и фото</w:t>
            </w:r>
          </w:p>
        </w:tc>
        <w:tc>
          <w:tcPr>
            <w:tcW w:type="dxa" w:w="180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b w:val="false"/>
                <w:bCs w:val="false"/>
                <w:color w:val="191B1E"/>
                <w:sz w:val="19"/>
                <w:szCs w:val="19"/>
              </w:rPr>
              <w:t xml:space="preserve">500 ₽/мес</w:t>
            </w:r>
          </w:p>
        </w:tc>
      </w:tr>
      <w:tr>
        <w:tc>
          <w:tcPr>
            <w:tcW w:type="dxa" w:w="240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b w:val="false"/>
                <w:bCs w:val="false"/>
                <w:color w:val="191B1E"/>
                <w:sz w:val="19"/>
                <w:szCs w:val="19"/>
              </w:rPr>
              <w:t xml:space="preserve">Обслуживание · Расширенное</w:t>
            </w:r>
          </w:p>
        </w:tc>
        <w:tc>
          <w:tcPr>
            <w:tcW w:type="dxa" w:w="380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b w:val="false"/>
                <w:bCs w:val="false"/>
                <w:color w:val="191B1E"/>
                <w:sz w:val="19"/>
                <w:szCs w:val="19"/>
              </w:rPr>
              <w:t xml:space="preserve">Правки, фото и мелкие доработки функционала</w:t>
            </w:r>
          </w:p>
        </w:tc>
        <w:tc>
          <w:tcPr>
            <w:tcW w:type="dxa" w:w="180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b w:val="false"/>
                <w:bCs w:val="false"/>
                <w:color w:val="191B1E"/>
                <w:sz w:val="19"/>
                <w:szCs w:val="19"/>
              </w:rPr>
              <w:t xml:space="preserve">1 200 ₽/мес</w:t>
            </w:r>
          </w:p>
        </w:tc>
      </w:tr>
      <w:tr>
        <w:tc>
          <w:tcPr>
            <w:tcW w:type="dxa" w:w="240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b w:val="false"/>
                <w:bCs w:val="false"/>
                <w:color w:val="191B1E"/>
                <w:sz w:val="19"/>
                <w:szCs w:val="19"/>
              </w:rPr>
              <w:t xml:space="preserve">Обслуживание · Разовая правка</w:t>
            </w:r>
          </w:p>
        </w:tc>
        <w:tc>
          <w:tcPr>
            <w:tcW w:type="dxa" w:w="380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b w:val="false"/>
                <w:bCs w:val="false"/>
                <w:color w:val="191B1E"/>
                <w:sz w:val="19"/>
                <w:szCs w:val="19"/>
              </w:rPr>
              <w:t xml:space="preserve">Без подписки, по отдельному запросу</w:t>
            </w:r>
          </w:p>
        </w:tc>
        <w:tc>
          <w:tcPr>
            <w:tcW w:type="dxa" w:w="180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b w:val="false"/>
                <w:bCs w:val="false"/>
                <w:color w:val="191B1E"/>
                <w:sz w:val="19"/>
                <w:szCs w:val="19"/>
              </w:rPr>
              <w:t xml:space="preserve">350 ₽</w:t>
            </w:r>
          </w:p>
        </w:tc>
      </w:tr>
      <w:tr>
        <w:tc>
          <w:tcPr>
            <w:tcW w:type="dxa" w:w="240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b w:val="false"/>
                <w:bCs w:val="false"/>
                <w:color w:val="191B1E"/>
                <w:sz w:val="19"/>
                <w:szCs w:val="19"/>
              </w:rPr>
              <w:t xml:space="preserve">Срочность</w:t>
            </w:r>
          </w:p>
        </w:tc>
        <w:tc>
          <w:tcPr>
            <w:tcW w:type="dxa" w:w="380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b w:val="false"/>
                <w:bCs w:val="false"/>
                <w:color w:val="191B1E"/>
                <w:sz w:val="19"/>
                <w:szCs w:val="19"/>
              </w:rPr>
              <w:t xml:space="preserve">Приоритетная очередь</w:t>
            </w:r>
          </w:p>
        </w:tc>
        <w:tc>
          <w:tcPr>
            <w:tcW w:type="dxa" w:w="180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b w:val="false"/>
                <w:bCs w:val="false"/>
                <w:color w:val="191B1E"/>
                <w:sz w:val="19"/>
                <w:szCs w:val="19"/>
              </w:rPr>
              <w:t xml:space="preserve">+30%</w:t>
            </w:r>
          </w:p>
        </w:tc>
      </w:tr>
    </w:tbl>
    <w:p>
      <w:pPr>
        <w:spacing w:before="140"/>
      </w:pPr>
    </w:p>
    <w:p>
      <w:pPr>
        <w:spacing w:after="120"/>
        <w:jc w:val="both"/>
      </w:pPr>
      <w:r>
        <w:rPr>
          <w:b w:val="false"/>
          <w:bCs w:val="false"/>
          <w:color w:val="191B1E"/>
          <w:sz w:val="21"/>
          <w:szCs w:val="21"/>
        </w:rPr>
        <w:t xml:space="preserve">Оплата принимается через ЮKassa: карты, СБП, T-Pay, SberPay. Все цены указаны в рублях с учётом налогов.</w:t>
      </w:r>
    </w:p>
    <w:p>
      <w:pPr>
        <w:pBdr>
          <w:bottom w:val="single" w:color="AAAAAA" w:sz="4"/>
        </w:pBdr>
        <w:spacing w:after="200" w:before="200"/>
      </w:pPr>
      <w:r>
        <w:t xml:space="preserve"/>
      </w:r>
    </w:p>
    <w:p>
      <w:pPr>
        <w:pStyle w:val="Heading1"/>
        <w:spacing w:after="140" w:before="320"/>
      </w:pPr>
      <w:r>
        <w:rPr>
          <w:b/>
          <w:bCs/>
          <w:color w:val="191B1E"/>
          <w:sz w:val="25"/>
          <w:szCs w:val="25"/>
        </w:rPr>
        <w:t xml:space="preserve">5. Сроки выполнения</w:t>
      </w:r>
    </w:p>
    <w:p>
      <w:pPr>
        <w:spacing w:after="80" w:before="160"/>
      </w:pPr>
      <w:r>
        <w:rPr>
          <w:b/>
          <w:bCs/>
          <w:color w:val="191B1E"/>
          <w:sz w:val="21"/>
          <w:szCs w:val="21"/>
        </w:rPr>
        <w:t xml:space="preserve">Создание сайта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91B1E"/>
          <w:sz w:val="21"/>
          <w:szCs w:val="21"/>
        </w:rPr>
        <w:t xml:space="preserve">Старт — 1–2 рабочих дня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91B1E"/>
          <w:sz w:val="21"/>
          <w:szCs w:val="21"/>
        </w:rPr>
        <w:t xml:space="preserve">Рост — 2–5 рабочих дней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91B1E"/>
          <w:sz w:val="21"/>
          <w:szCs w:val="21"/>
        </w:rPr>
        <w:t xml:space="preserve">Масштаб — 5–14 рабочих дней</w:t>
      </w:r>
    </w:p>
    <w:p>
      <w:pPr>
        <w:spacing w:after="80" w:before="160"/>
      </w:pPr>
      <w:r>
        <w:rPr>
          <w:b/>
          <w:bCs/>
          <w:color w:val="191B1E"/>
          <w:sz w:val="21"/>
          <w:szCs w:val="21"/>
        </w:rPr>
        <w:t xml:space="preserve">Telegram-бот и mini-app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91B1E"/>
          <w:sz w:val="21"/>
          <w:szCs w:val="21"/>
        </w:rPr>
        <w:t xml:space="preserve">Простой бот — 2–4 рабочих дня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91B1E"/>
          <w:sz w:val="21"/>
          <w:szCs w:val="21"/>
        </w:rPr>
        <w:t xml:space="preserve">Бот с оплатой — 4–7 рабочих дней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91B1E"/>
          <w:sz w:val="21"/>
          <w:szCs w:val="21"/>
        </w:rPr>
        <w:t xml:space="preserve">Mini App — 7–14 рабочих дней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91B1E"/>
          <w:sz w:val="21"/>
          <w:szCs w:val="21"/>
        </w:rPr>
        <w:t xml:space="preserve">Срочный запуск — до 2–4 рабочих дней (+30%)</w:t>
      </w:r>
    </w:p>
    <w:p>
      <w:pPr>
        <w:spacing w:after="120"/>
        <w:jc w:val="both"/>
      </w:pPr>
      <w:r>
        <w:rPr>
          <w:b w:val="false"/>
          <w:bCs w:val="false"/>
          <w:color w:val="191B1E"/>
          <w:sz w:val="21"/>
          <w:szCs w:val="21"/>
        </w:rPr>
        <w:t xml:space="preserve">Сроки приостанавливаются, если Клиент не предоставил материалы. О задержках по вине Исполнителя сообщается заранее.</w:t>
      </w:r>
    </w:p>
    <w:p>
      <w:pPr>
        <w:pBdr>
          <w:bottom w:val="single" w:color="AAAAAA" w:sz="4"/>
        </w:pBdr>
        <w:spacing w:after="200" w:before="200"/>
      </w:pPr>
      <w:r>
        <w:t xml:space="preserve"/>
      </w:r>
    </w:p>
    <w:p>
      <w:pPr>
        <w:pStyle w:val="Heading1"/>
        <w:spacing w:after="140" w:before="320"/>
      </w:pPr>
      <w:r>
        <w:rPr>
          <w:b/>
          <w:bCs/>
          <w:color w:val="191B1E"/>
          <w:sz w:val="25"/>
          <w:szCs w:val="25"/>
        </w:rPr>
        <w:t xml:space="preserve">6. Правки и доработки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91B1E"/>
          <w:sz w:val="21"/>
          <w:szCs w:val="21"/>
        </w:rPr>
        <w:t xml:space="preserve">Включено до 3 итераций правок по согласованному макету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91B1E"/>
          <w:sz w:val="21"/>
          <w:szCs w:val="21"/>
        </w:rPr>
        <w:t xml:space="preserve">Замечания принимаются в течение 7 дней после сдачи работы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91B1E"/>
          <w:sz w:val="21"/>
          <w:szCs w:val="21"/>
        </w:rPr>
        <w:t xml:space="preserve">По истечении 7 дней работа считается принятой без возражений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91B1E"/>
          <w:sz w:val="21"/>
          <w:szCs w:val="21"/>
        </w:rPr>
        <w:t xml:space="preserve">Изменение концепции после начала работы — дополнительная оплата</w:t>
      </w:r>
    </w:p>
    <w:p>
      <w:pPr>
        <w:pBdr>
          <w:bottom w:val="single" w:color="AAAAAA" w:sz="4"/>
        </w:pBdr>
        <w:spacing w:after="200" w:before="200"/>
      </w:pPr>
      <w:r>
        <w:t xml:space="preserve"/>
      </w:r>
    </w:p>
    <w:p>
      <w:pPr>
        <w:pStyle w:val="Heading1"/>
        <w:spacing w:after="140" w:before="320"/>
      </w:pPr>
      <w:r>
        <w:rPr>
          <w:b/>
          <w:bCs/>
          <w:color w:val="191B1E"/>
          <w:sz w:val="25"/>
          <w:szCs w:val="25"/>
        </w:rPr>
        <w:t xml:space="preserve">7. Возврат средств</w:t>
      </w:r>
    </w:p>
    <w:p>
      <w:pPr>
        <w:spacing w:after="120"/>
        <w:jc w:val="both"/>
      </w:pPr>
      <w:r>
        <w:rPr>
          <w:b w:val="false"/>
          <w:bCs w:val="false"/>
          <w:color w:val="191B1E"/>
          <w:sz w:val="21"/>
          <w:szCs w:val="21"/>
        </w:rPr>
        <w:t xml:space="preserve">Спорные ситуации решаются в переговорах через чат поддержки в личном кабинете — большинство вопросов закрывается на этом этапе.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91B1E"/>
          <w:sz w:val="21"/>
          <w:szCs w:val="21"/>
        </w:rPr>
        <w:t xml:space="preserve">До статуса «В работе» (пока заявка на этапе «Новая заявка» или «Обсуждение») — доступен полный возврат по заявлению в личном кабинете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91B1E"/>
          <w:sz w:val="21"/>
          <w:szCs w:val="21"/>
        </w:rPr>
        <w:t xml:space="preserve">После перехода заявки в статус «В работе» — возврат не производится: исполнение договора уже началось</w:t>
      </w:r>
    </w:p>
    <w:p>
      <w:pPr>
        <w:spacing w:after="120"/>
        <w:jc w:val="both"/>
      </w:pPr>
      <w:r>
        <w:rPr>
          <w:b w:val="false"/>
          <w:bCs w:val="false"/>
          <w:color w:val="191B1E"/>
          <w:sz w:val="21"/>
          <w:szCs w:val="21"/>
        </w:rPr>
        <w:t xml:space="preserve">Заявление на возврат подаётся в разделе «Мои заказы» личного кабинета. Решение принимается вручную и отражается в статусе заказа; при одобрении средства возвращаются на реквизиты, указанные при оплате, в течение 10 рабочих дней.</w:t>
      </w:r>
    </w:p>
    <w:p>
      <w:pPr>
        <w:spacing w:after="120"/>
        <w:jc w:val="both"/>
      </w:pPr>
      <w:r>
        <w:rPr>
          <w:b/>
          <w:bCs/>
          <w:color w:val="191B1E"/>
          <w:sz w:val="21"/>
          <w:szCs w:val="21"/>
        </w:rPr>
        <w:t xml:space="preserve">Важно: возврат не производится, если Клиент самостоятельно внёс изменения в код или контент сайта после сдачи работы.</w:t>
      </w:r>
    </w:p>
    <w:p>
      <w:pPr>
        <w:pBdr>
          <w:bottom w:val="single" w:color="AAAAAA" w:sz="4"/>
        </w:pBdr>
        <w:spacing w:after="200" w:before="200"/>
      </w:pPr>
      <w:r>
        <w:t xml:space="preserve"/>
      </w:r>
    </w:p>
    <w:p>
      <w:pPr>
        <w:pStyle w:val="Heading1"/>
        <w:spacing w:after="140" w:before="320"/>
      </w:pPr>
      <w:r>
        <w:rPr>
          <w:b/>
          <w:bCs/>
          <w:color w:val="191B1E"/>
          <w:sz w:val="25"/>
          <w:szCs w:val="25"/>
        </w:rPr>
        <w:t xml:space="preserve">8. Права на результат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91B1E"/>
          <w:sz w:val="21"/>
          <w:szCs w:val="21"/>
        </w:rPr>
        <w:t xml:space="preserve">После полной оплаты исключительные права на исходный код переходят к Клиенту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91B1E"/>
          <w:sz w:val="21"/>
          <w:szCs w:val="21"/>
        </w:rPr>
        <w:t xml:space="preserve">До оплаты код и макеты остаются интеллектуальной собственностью Antviz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91B1E"/>
          <w:sz w:val="21"/>
          <w:szCs w:val="21"/>
        </w:rPr>
        <w:t xml:space="preserve">Готовый проект может быть указан в портфолио Antviz без раскрытия конфиденциальных данных Заказчика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91B1E"/>
          <w:sz w:val="21"/>
          <w:szCs w:val="21"/>
        </w:rPr>
        <w:t xml:space="preserve">Клиент гарантирует, что предоставленные материалы не нарушают авторские права третьих лиц</w:t>
      </w:r>
    </w:p>
    <w:p>
      <w:pPr>
        <w:pBdr>
          <w:bottom w:val="single" w:color="AAAAAA" w:sz="4"/>
        </w:pBdr>
        <w:spacing w:after="200" w:before="200"/>
      </w:pPr>
      <w:r>
        <w:t xml:space="preserve"/>
      </w:r>
    </w:p>
    <w:p>
      <w:pPr>
        <w:pStyle w:val="Heading1"/>
        <w:spacing w:after="140" w:before="320"/>
      </w:pPr>
      <w:r>
        <w:rPr>
          <w:b/>
          <w:bCs/>
          <w:color w:val="191B1E"/>
          <w:sz w:val="25"/>
          <w:szCs w:val="25"/>
        </w:rPr>
        <w:t xml:space="preserve">9. Ответственность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91B1E"/>
          <w:sz w:val="21"/>
          <w:szCs w:val="21"/>
        </w:rPr>
        <w:t xml:space="preserve">Исполнитель не отвечает за временную недоступность сторонних сервисов, используемых для работы платформы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91B1E"/>
          <w:sz w:val="21"/>
          <w:szCs w:val="21"/>
        </w:rPr>
        <w:t xml:space="preserve">Исполнитель не отвечает за последствия изменений, внесённых Клиентом в код после сдачи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91B1E"/>
          <w:sz w:val="21"/>
          <w:szCs w:val="21"/>
        </w:rPr>
        <w:t xml:space="preserve">Совокупная ответственность ограничена суммой оплаченного заказа</w:t>
      </w:r>
    </w:p>
    <w:p>
      <w:pPr>
        <w:pBdr>
          <w:bottom w:val="single" w:color="AAAAAA" w:sz="4"/>
        </w:pBdr>
        <w:spacing w:after="200" w:before="200"/>
      </w:pPr>
      <w:r>
        <w:t xml:space="preserve"/>
      </w:r>
    </w:p>
    <w:p>
      <w:pPr>
        <w:pStyle w:val="Heading1"/>
        <w:spacing w:after="140" w:before="320"/>
      </w:pPr>
      <w:r>
        <w:rPr>
          <w:b/>
          <w:bCs/>
          <w:color w:val="191B1E"/>
          <w:sz w:val="25"/>
          <w:szCs w:val="25"/>
        </w:rPr>
        <w:t xml:space="preserve">10. Персональные данные и расположение серверов</w:t>
      </w:r>
    </w:p>
    <w:p>
      <w:pPr>
        <w:spacing w:after="120"/>
        <w:jc w:val="both"/>
      </w:pPr>
      <w:r>
        <w:rPr>
          <w:b w:val="false"/>
          <w:bCs w:val="false"/>
          <w:color w:val="191B1E"/>
          <w:sz w:val="21"/>
          <w:szCs w:val="21"/>
        </w:rPr>
        <w:t xml:space="preserve">Клиент уведомлён и соглашается с тем, что по умолчанию сайты, боты и mini-apps, разрабатываемые Antviz, размещаются на серверах и технической инфраструктуре, физически расположенных за пределами Российской Федерации (на территории США). Эта информация доводится до Клиента заранее, до оформления и оплаты заказа.</w:t>
      </w:r>
    </w:p>
    <w:p>
      <w:pPr>
        <w:spacing w:after="120"/>
        <w:jc w:val="both"/>
      </w:pPr>
      <w:r>
        <w:rPr>
          <w:b w:val="false"/>
          <w:bCs w:val="false"/>
          <w:color w:val="191B1E"/>
          <w:sz w:val="21"/>
          <w:szCs w:val="21"/>
        </w:rPr>
        <w:t xml:space="preserve">Если Клиент заказывает сайт, бота или mini-app, предполагающий сбор, хранение или обработку персональных данных граждан РФ, обязанность по соблюдению требований законодательства Российской Федерации о локализации персональных данных (в том числе Федерального закона № 152-ФЗ «О персональных данных») лежит на Клиенте.</w:t>
      </w:r>
    </w:p>
    <w:p>
      <w:pPr>
        <w:spacing w:after="120"/>
        <w:jc w:val="both"/>
      </w:pPr>
      <w:r>
        <w:rPr>
          <w:b/>
          <w:bCs/>
          <w:color w:val="191B1E"/>
          <w:sz w:val="21"/>
          <w:szCs w:val="21"/>
        </w:rPr>
        <w:t xml:space="preserve">Исполнитель не несёт ответственности за последствия несоблюдения Клиентом требований к локализации персональных данных, а также за любые претензии со стороны государственных органов или третьих лиц, связанные с местом хранения данных, поскольку информация о расположении серверов по умолчанию доведена до Клиента заранее и Клиент, оформляя заказ, соглашается с этим условием.</w:t>
      </w:r>
    </w:p>
    <w:p>
      <w:pPr>
        <w:pBdr>
          <w:bottom w:val="single" w:color="AAAAAA" w:sz="4"/>
        </w:pBdr>
        <w:spacing w:after="200" w:before="200"/>
      </w:pPr>
      <w:r>
        <w:t xml:space="preserve"/>
      </w:r>
    </w:p>
    <w:p>
      <w:pPr>
        <w:pStyle w:val="Heading1"/>
        <w:spacing w:after="140" w:before="320"/>
      </w:pPr>
      <w:r>
        <w:rPr>
          <w:b/>
          <w:bCs/>
          <w:color w:val="191B1E"/>
          <w:sz w:val="25"/>
          <w:szCs w:val="25"/>
        </w:rPr>
        <w:t xml:space="preserve">11. Технические лимиты</w:t>
      </w:r>
    </w:p>
    <w:p>
      <w:pPr>
        <w:spacing w:after="120"/>
        <w:jc w:val="both"/>
      </w:pPr>
      <w:r>
        <w:rPr>
          <w:b w:val="false"/>
          <w:bCs w:val="false"/>
          <w:color w:val="191B1E"/>
          <w:sz w:val="21"/>
          <w:szCs w:val="21"/>
        </w:rPr>
        <w:t xml:space="preserve">Сайты, боты и mini-apps, которые разрабатывает Antviz, имеют технические лимиты — по хранению данных, аутентификации, хостингу и серверным функциям. При превышении любого из лимитов соответствующая функциональность временно перестаёт работать до автоматического сброса счётчика. Актуальные лимиты для конкретного проекта предоставляются Клиенту по запросу через чат поддержки.</w:t>
      </w:r>
    </w:p>
    <w:p>
      <w:pPr>
        <w:spacing w:after="80" w:before="160"/>
      </w:pPr>
      <w:r>
        <w:rPr>
          <w:b/>
          <w:bCs/>
          <w:color w:val="191B1E"/>
          <w:sz w:val="21"/>
          <w:szCs w:val="21"/>
        </w:rPr>
        <w:t xml:space="preserve">База данных, аутентификация и хранение файлов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91B1E"/>
          <w:sz w:val="21"/>
          <w:szCs w:val="21"/>
        </w:rPr>
        <w:t xml:space="preserve">База данных: 1 ГиБ хранимых данных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91B1E"/>
          <w:sz w:val="21"/>
          <w:szCs w:val="21"/>
        </w:rPr>
        <w:t xml:space="preserve">База данных: 50 000 операций чтения в сутки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91B1E"/>
          <w:sz w:val="21"/>
          <w:szCs w:val="21"/>
        </w:rPr>
        <w:t xml:space="preserve">База данных: 20 000 операций записи в сутки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91B1E"/>
          <w:sz w:val="21"/>
          <w:szCs w:val="21"/>
        </w:rPr>
        <w:t xml:space="preserve">База данных: 20 000 операций удаления в сутки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91B1E"/>
          <w:sz w:val="21"/>
          <w:szCs w:val="21"/>
        </w:rPr>
        <w:t xml:space="preserve">База данных: 10 ГиБ исходящего трафика в месяц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91B1E"/>
          <w:sz w:val="21"/>
          <w:szCs w:val="21"/>
        </w:rPr>
        <w:t xml:space="preserve">Аутентификация: до 50 000 активных пользователей в месяц (email, соцсети)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91B1E"/>
          <w:sz w:val="21"/>
          <w:szCs w:val="21"/>
        </w:rPr>
        <w:t xml:space="preserve">Серверные функции: 2 000 000 вызовов в месяц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91B1E"/>
          <w:sz w:val="21"/>
          <w:szCs w:val="21"/>
        </w:rPr>
        <w:t xml:space="preserve">Серверные функции: 400 000 ГБ-секунд и 200 000 ЦП-секунд в месяц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91B1E"/>
          <w:sz w:val="21"/>
          <w:szCs w:val="21"/>
        </w:rPr>
        <w:t xml:space="preserve">Серверные функции: 5 ГБ исходящего трафика в месяц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91B1E"/>
          <w:sz w:val="21"/>
          <w:szCs w:val="21"/>
        </w:rPr>
        <w:t xml:space="preserve">Хостинг сайта: 10 ГБ хранимых данных, 10 ГБ трафика в месяц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91B1E"/>
          <w:sz w:val="21"/>
          <w:szCs w:val="21"/>
        </w:rPr>
        <w:t xml:space="preserve">Push-уведомления: без ограничений</w:t>
      </w:r>
    </w:p>
    <w:p>
      <w:pPr>
        <w:spacing w:after="80" w:before="160"/>
      </w:pPr>
      <w:r>
        <w:rPr>
          <w:b/>
          <w:bCs/>
          <w:color w:val="191B1E"/>
          <w:sz w:val="21"/>
          <w:szCs w:val="21"/>
        </w:rPr>
        <w:t xml:space="preserve">Хостинг, серверные функции и трафик для ботов и mini-apps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91B1E"/>
          <w:sz w:val="21"/>
          <w:szCs w:val="21"/>
        </w:rPr>
        <w:t xml:space="preserve">100 ГБ трафика в месяц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91B1E"/>
          <w:sz w:val="21"/>
          <w:szCs w:val="21"/>
        </w:rPr>
        <w:t xml:space="preserve">1 000 000 запросов к сети доставки контента в месяц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91B1E"/>
          <w:sz w:val="21"/>
          <w:szCs w:val="21"/>
        </w:rPr>
        <w:t xml:space="preserve">1 000 000 вызовов серверных функций в месяц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91B1E"/>
          <w:sz w:val="21"/>
          <w:szCs w:val="21"/>
        </w:rPr>
        <w:t xml:space="preserve">4 часа активного процессорного времени в месяц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91B1E"/>
          <w:sz w:val="21"/>
          <w:szCs w:val="21"/>
        </w:rPr>
        <w:t xml:space="preserve">360 ГБ-часов выделенной памяти в месяц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91B1E"/>
          <w:sz w:val="21"/>
          <w:szCs w:val="21"/>
        </w:rPr>
        <w:t xml:space="preserve">Максимальная длительность выполнения одной функции — 300 секунд</w:t>
      </w:r>
    </w:p>
    <w:p>
      <w:pPr>
        <w:spacing w:after="120"/>
        <w:jc w:val="both"/>
      </w:pPr>
      <w:r>
        <w:rPr>
          <w:b w:val="false"/>
          <w:bCs w:val="false"/>
          <w:color w:val="191B1E"/>
          <w:sz w:val="21"/>
          <w:szCs w:val="21"/>
        </w:rPr>
        <w:t xml:space="preserve">Лимиты базы данных сбрасываются ежедневно, лимиты хостинга и серверных функций — ежемесячно; для Telegram-ботов и mini-apps лимиты трафика и вызовов сбрасываются ежемесячно, 1 числа. Если проекту требуется работа за пределами указанных лимитов, Клиент оплачивает переход на расширенный тариф либо на серверы Antviz с расширенными ресурсами, расположенные на территории РФ. Соответствующий запрос направляется в поддержку.</w:t>
      </w:r>
    </w:p>
    <w:p>
      <w:pPr>
        <w:pBdr>
          <w:bottom w:val="single" w:color="AAAAAA" w:sz="4"/>
        </w:pBdr>
        <w:spacing w:after="200" w:before="200"/>
      </w:pPr>
      <w:r>
        <w:t xml:space="preserve"/>
      </w:r>
    </w:p>
    <w:p>
      <w:pPr>
        <w:pStyle w:val="Heading1"/>
        <w:spacing w:after="140" w:before="320"/>
      </w:pPr>
      <w:r>
        <w:rPr>
          <w:b/>
          <w:bCs/>
          <w:color w:val="191B1E"/>
          <w:sz w:val="25"/>
          <w:szCs w:val="25"/>
        </w:rPr>
        <w:t xml:space="preserve">12. Домены</w:t>
      </w:r>
    </w:p>
    <w:p>
      <w:pPr>
        <w:spacing w:after="120"/>
        <w:jc w:val="both"/>
      </w:pPr>
      <w:r>
        <w:rPr>
          <w:b w:val="false"/>
          <w:bCs w:val="false"/>
          <w:color w:val="191B1E"/>
          <w:sz w:val="21"/>
          <w:szCs w:val="21"/>
        </w:rPr>
        <w:t xml:space="preserve">Домен Клиент регистрирует и оплачивает самостоятельно на сайте регистратора рег.ру, перейдя по ссылке, которую Antviz предоставляет в личном кабинете при оформлении заказа. Оплата производится Клиентом напрямую регистратору и не входит в стоимость тарифа на сайт, бота или mini-app.</w:t>
      </w:r>
    </w:p>
    <w:p>
      <w:pPr>
        <w:spacing w:after="120"/>
        <w:jc w:val="both"/>
      </w:pPr>
      <w:r>
        <w:rPr>
          <w:b w:val="false"/>
          <w:bCs w:val="false"/>
          <w:color w:val="191B1E"/>
          <w:sz w:val="21"/>
          <w:szCs w:val="21"/>
        </w:rPr>
        <w:t xml:space="preserve">Ссылка на рег.ру является партнёрской (реферальной): по условиям партнёрской программы регистратора Исполнитель получает вознаграждение за переходы и покупки домена по этой ссылке. Использование партнёрской ссылки не увеличивает стоимость домена для Клиента и не является обязательным условием заказа.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91B1E"/>
          <w:sz w:val="21"/>
          <w:szCs w:val="21"/>
        </w:rPr>
        <w:t xml:space="preserve">Домен регистрируется на имя Клиента; Antviz не является регистратором и не хранит платёжные данные Клиента для этой операции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91B1E"/>
          <w:sz w:val="21"/>
          <w:szCs w:val="21"/>
        </w:rPr>
        <w:t xml:space="preserve">Клиент вправе зарегистрировать домен у любого другого регистратора по своему выбору — подключение стороннего домена к проекту от этого не меняется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91B1E"/>
          <w:sz w:val="21"/>
          <w:szCs w:val="21"/>
        </w:rPr>
        <w:t xml:space="preserve">Продление домена в дальнейшем Клиент производит самостоятельно на сайте регистратора; Antviz не несёт ответственности за истечение срока регистрации домена, его утрату или изменение условий регистратора</w:t>
      </w:r>
    </w:p>
    <w:p>
      <w:pPr>
        <w:pBdr>
          <w:bottom w:val="single" w:color="AAAAAA" w:sz="4"/>
        </w:pBdr>
        <w:spacing w:after="200" w:before="200"/>
      </w:pPr>
      <w:r>
        <w:t xml:space="preserve"/>
      </w:r>
    </w:p>
    <w:p>
      <w:pPr>
        <w:pStyle w:val="Heading1"/>
        <w:spacing w:after="140" w:before="320"/>
      </w:pPr>
      <w:r>
        <w:rPr>
          <w:b/>
          <w:bCs/>
          <w:color w:val="191B1E"/>
          <w:sz w:val="25"/>
          <w:szCs w:val="25"/>
        </w:rPr>
        <w:t xml:space="preserve">13. Конфиденциальность</w:t>
      </w:r>
    </w:p>
    <w:p>
      <w:pPr>
        <w:spacing w:after="120"/>
        <w:jc w:val="both"/>
      </w:pPr>
      <w:r>
        <w:rPr>
          <w:b w:val="false"/>
          <w:bCs w:val="false"/>
          <w:color w:val="191B1E"/>
          <w:sz w:val="21"/>
          <w:szCs w:val="21"/>
        </w:rPr>
        <w:t xml:space="preserve">Исполнитель обязуется не передавать третьим лицам данные, полученные от Клиента при оформлении и выполнении заказа (контактные данные, материалы для наполнения сайта, доступы), за исключением случаев, предусмотренных законодательством РФ, либо необходимых для оказания услуги — например, передачи данных техническим платформам, на которых размещается проект.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91B1E"/>
          <w:sz w:val="21"/>
          <w:szCs w:val="21"/>
        </w:rPr>
        <w:t xml:space="preserve">Доступы и учётные данные, переданные Клиентом, используются исключительно для выполнения заказа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91B1E"/>
          <w:sz w:val="21"/>
          <w:szCs w:val="21"/>
        </w:rPr>
        <w:t xml:space="preserve">После завершения работы и передачи проекта Клиенту Исполнитель вправе удалить временные копии материалов Клиента со своих рабочих ресурсов</w:t>
      </w:r>
    </w:p>
    <w:p>
      <w:pPr>
        <w:pBdr>
          <w:bottom w:val="single" w:color="AAAAAA" w:sz="4"/>
        </w:pBdr>
        <w:spacing w:after="200" w:before="200"/>
      </w:pPr>
      <w:r>
        <w:t xml:space="preserve"/>
      </w:r>
    </w:p>
    <w:p>
      <w:pPr>
        <w:pStyle w:val="Heading1"/>
        <w:spacing w:after="140" w:before="320"/>
      </w:pPr>
      <w:r>
        <w:rPr>
          <w:b/>
          <w:bCs/>
          <w:color w:val="191B1E"/>
          <w:sz w:val="25"/>
          <w:szCs w:val="25"/>
        </w:rPr>
        <w:t xml:space="preserve">14. Форс-мажор</w:t>
      </w:r>
    </w:p>
    <w:p>
      <w:pPr>
        <w:spacing w:after="120"/>
        <w:jc w:val="both"/>
      </w:pPr>
      <w:r>
        <w:rPr>
          <w:b w:val="false"/>
          <w:bCs w:val="false"/>
          <w:color w:val="191B1E"/>
          <w:sz w:val="21"/>
          <w:szCs w:val="21"/>
        </w:rPr>
        <w:t xml:space="preserve">Стороны освобождаются от ответственности за полное или частичное неисполнение обязательств, если оно вызвано обстоятельствами непреодолимой силы: стихийные бедствия, военные действия, действия органов государственной власти, сбои в работе интернет-провайдеров, дата-центров и сторонних технических платформ, а также иные обстоятельства, находящиеся вне разумного контроля Сторон.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91B1E"/>
          <w:sz w:val="21"/>
          <w:szCs w:val="21"/>
        </w:rPr>
        <w:t xml:space="preserve">Сторона, для которой наступили форс-мажорные обстоятельства, уведомляет другую Сторону в разумный срок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91B1E"/>
          <w:sz w:val="21"/>
          <w:szCs w:val="21"/>
        </w:rPr>
        <w:t xml:space="preserve">На период действия форс-мажорных обстоятельств сроки выполнения заказа приостанавливаются</w:t>
      </w:r>
    </w:p>
    <w:p>
      <w:pPr>
        <w:pBdr>
          <w:bottom w:val="single" w:color="AAAAAA" w:sz="4"/>
        </w:pBdr>
        <w:spacing w:after="200" w:before="200"/>
      </w:pPr>
      <w:r>
        <w:t xml:space="preserve"/>
      </w:r>
    </w:p>
    <w:p>
      <w:pPr>
        <w:pStyle w:val="Heading1"/>
        <w:spacing w:after="140" w:before="320"/>
      </w:pPr>
      <w:r>
        <w:rPr>
          <w:b/>
          <w:bCs/>
          <w:color w:val="191B1E"/>
          <w:sz w:val="25"/>
          <w:szCs w:val="25"/>
        </w:rPr>
        <w:t xml:space="preserve">15. Заключительные положения</w:t>
      </w:r>
    </w:p>
    <w:p>
      <w:pPr>
        <w:spacing w:after="120"/>
        <w:jc w:val="both"/>
      </w:pPr>
      <w:r>
        <w:rPr>
          <w:b w:val="false"/>
          <w:bCs w:val="false"/>
          <w:color w:val="191B1E"/>
          <w:sz w:val="21"/>
          <w:szCs w:val="21"/>
        </w:rPr>
        <w:t xml:space="preserve">Оплата заказа Клиентом является полным и безоговорочным акцептом настоящей оферты.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91B1E"/>
          <w:sz w:val="21"/>
          <w:szCs w:val="21"/>
        </w:rPr>
        <w:t xml:space="preserve">Исполнитель вправе в одностороннем порядке изменять условия настоящих правил; новая редакция публикуется на antviz.ru и применяется к заказам, оформленным после даты публикации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91B1E"/>
          <w:sz w:val="21"/>
          <w:szCs w:val="21"/>
        </w:rPr>
        <w:t xml:space="preserve">К отношениям Сторон применяется законодательство Российской Федерации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91B1E"/>
          <w:sz w:val="21"/>
          <w:szCs w:val="21"/>
        </w:rPr>
        <w:t xml:space="preserve">Споры, не урегулированные путём переговоров через чат поддержки, разрешаются в порядке, установленном законодательством РФ</w:t>
      </w:r>
    </w:p>
    <w:p>
      <w:pPr>
        <w:pBdr>
          <w:bottom w:val="single" w:color="AAAAAA" w:sz="4"/>
        </w:pBdr>
        <w:spacing w:after="200" w:before="200"/>
      </w:pPr>
      <w:r>
        <w:t xml:space="preserve"/>
      </w:r>
    </w:p>
    <w:p>
      <w:pPr>
        <w:spacing w:before="100"/>
      </w:pPr>
      <w:r>
        <w:rPr>
          <w:color w:val="191B1E"/>
          <w:sz w:val="19"/>
          <w:szCs w:val="19"/>
        </w:rPr>
        <w:t xml:space="preserve">Чат поддержки: Личный кабинет → Поддержка   ·   Telegram: @antviz_official</w:t>
      </w:r>
    </w:p>
    <w:sectPr>
      <w:pgSz w:w="11906" w:h="16838" w:orient="portrait"/>
      <w:pgMar w:top="1100" w:right="1300" w:bottom="1100" w:left="13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—"/>
      <w:lvlJc w:val="left"/>
      <w:pPr>
        <w:ind w:left="40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2026-08-17T09:00:12.688Z</dcterms:created>
  <dcterms:modified xsi:type="dcterms:W3CDTF">2026-08-17T09:00:12.701Z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